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64F" w:rsidRDefault="00936B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Pr>
          <w:rFonts w:ascii="Times New Roman" w:hAnsi="Times New Roman" w:cs="Times New Roman"/>
          <w:sz w:val="22"/>
          <w:szCs w:val="22"/>
        </w:rPr>
        <w:t>Приложение 7</w:t>
      </w:r>
      <w:r w:rsidR="004757A5">
        <w:rPr>
          <w:rFonts w:ascii="Times New Roman" w:hAnsi="Times New Roman" w:cs="Times New Roman"/>
          <w:sz w:val="22"/>
          <w:szCs w:val="22"/>
        </w:rPr>
        <w:br/>
      </w:r>
    </w:p>
    <w:p w:rsidR="004D664F" w:rsidRDefault="004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Fonts w:ascii="Times New Roman" w:hAnsi="Times New Roman" w:cs="Times New Roman"/>
          <w:sz w:val="22"/>
          <w:szCs w:val="22"/>
        </w:rPr>
        <w:t> </w:t>
      </w:r>
    </w:p>
    <w:p w:rsidR="004D664F" w:rsidRDefault="004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Fonts w:ascii="Times New Roman" w:hAnsi="Times New Roman" w:cs="Times New Roman"/>
          <w:sz w:val="22"/>
          <w:szCs w:val="22"/>
        </w:rPr>
        <w:t> </w:t>
      </w:r>
    </w:p>
    <w:p w:rsidR="004D664F" w:rsidRPr="0071325F" w:rsidRDefault="004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71325F">
        <w:rPr>
          <w:rFonts w:ascii="Times New Roman" w:hAnsi="Times New Roman" w:cs="Times New Roman"/>
          <w:b/>
          <w:bCs/>
        </w:rPr>
        <w:t>Состав комиссии по поступлению и выбытию активов</w:t>
      </w:r>
    </w:p>
    <w:p w:rsidR="004D664F" w:rsidRDefault="004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Fonts w:ascii="Times New Roman" w:hAnsi="Times New Roman" w:cs="Times New Roman"/>
          <w:sz w:val="22"/>
          <w:szCs w:val="22"/>
        </w:rPr>
        <w:t> </w:t>
      </w:r>
    </w:p>
    <w:p w:rsidR="004D664F" w:rsidRDefault="004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rFonts w:ascii="Times New Roman" w:hAnsi="Times New Roman" w:cs="Times New Roman"/>
          <w:sz w:val="22"/>
          <w:szCs w:val="22"/>
        </w:rPr>
        <w:t> </w:t>
      </w:r>
    </w:p>
    <w:p w:rsidR="004D664F" w:rsidRDefault="004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sz w:val="22"/>
          <w:szCs w:val="22"/>
        </w:rPr>
        <w:t xml:space="preserve">1. Создать постоянно действующую комиссию по поступлению и выбытию активов в следующем составе: </w:t>
      </w:r>
    </w:p>
    <w:p w:rsidR="00936BA5" w:rsidRDefault="004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Pr>
          <w:rFonts w:ascii="Times New Roman" w:hAnsi="Times New Roman" w:cs="Times New Roman"/>
          <w:sz w:val="22"/>
          <w:szCs w:val="22"/>
        </w:rPr>
        <w:t xml:space="preserve">– </w:t>
      </w:r>
      <w:r w:rsidR="00936BA5">
        <w:rPr>
          <w:rFonts w:ascii="Times New Roman" w:hAnsi="Times New Roman" w:cs="Times New Roman"/>
          <w:sz w:val="22"/>
          <w:szCs w:val="22"/>
        </w:rPr>
        <w:t>Начальник сектора экономики и финансов</w:t>
      </w:r>
      <w:r>
        <w:rPr>
          <w:rFonts w:ascii="Times New Roman" w:hAnsi="Times New Roman" w:cs="Times New Roman"/>
          <w:sz w:val="22"/>
          <w:szCs w:val="22"/>
        </w:rPr>
        <w:t xml:space="preserve"> (председатель комиссии);</w:t>
      </w:r>
      <w:r>
        <w:rPr>
          <w:rFonts w:ascii="Times New Roman" w:hAnsi="Times New Roman" w:cs="Times New Roman"/>
          <w:sz w:val="22"/>
          <w:szCs w:val="22"/>
        </w:rPr>
        <w:br/>
        <w:t xml:space="preserve">– </w:t>
      </w:r>
      <w:r w:rsidR="00936BA5">
        <w:rPr>
          <w:rFonts w:ascii="Times New Roman" w:hAnsi="Times New Roman" w:cs="Times New Roman"/>
          <w:sz w:val="22"/>
          <w:szCs w:val="22"/>
        </w:rPr>
        <w:t xml:space="preserve">Специалист </w:t>
      </w:r>
      <w:r w:rsidR="0071325F">
        <w:rPr>
          <w:rFonts w:ascii="Times New Roman" w:hAnsi="Times New Roman" w:cs="Times New Roman"/>
          <w:sz w:val="22"/>
          <w:szCs w:val="22"/>
        </w:rPr>
        <w:t xml:space="preserve">1 категории </w:t>
      </w:r>
      <w:r w:rsidR="00936BA5">
        <w:rPr>
          <w:rFonts w:ascii="Times New Roman" w:hAnsi="Times New Roman" w:cs="Times New Roman"/>
          <w:sz w:val="22"/>
          <w:szCs w:val="22"/>
        </w:rPr>
        <w:t>по благоустройству и вопросам ЖКХ (член комиссии)</w:t>
      </w:r>
      <w:r>
        <w:rPr>
          <w:rFonts w:ascii="Times New Roman" w:hAnsi="Times New Roman" w:cs="Times New Roman"/>
          <w:sz w:val="22"/>
          <w:szCs w:val="22"/>
        </w:rPr>
        <w:t>;</w:t>
      </w:r>
      <w:r>
        <w:rPr>
          <w:rFonts w:ascii="Times New Roman" w:hAnsi="Times New Roman" w:cs="Times New Roman"/>
          <w:sz w:val="22"/>
          <w:szCs w:val="22"/>
        </w:rPr>
        <w:br/>
        <w:t xml:space="preserve">– </w:t>
      </w:r>
      <w:r w:rsidR="00936BA5">
        <w:rPr>
          <w:rFonts w:ascii="Times New Roman" w:hAnsi="Times New Roman" w:cs="Times New Roman"/>
          <w:sz w:val="22"/>
          <w:szCs w:val="22"/>
        </w:rPr>
        <w:t xml:space="preserve">Специалист 1 категории </w:t>
      </w:r>
      <w:proofErr w:type="spellStart"/>
      <w:r w:rsidR="004757A5">
        <w:rPr>
          <w:rFonts w:ascii="Times New Roman" w:hAnsi="Times New Roman" w:cs="Times New Roman"/>
          <w:sz w:val="22"/>
          <w:szCs w:val="22"/>
        </w:rPr>
        <w:t>СЭ</w:t>
      </w:r>
      <w:r w:rsidR="00936BA5">
        <w:rPr>
          <w:rFonts w:ascii="Times New Roman" w:hAnsi="Times New Roman" w:cs="Times New Roman"/>
          <w:sz w:val="22"/>
          <w:szCs w:val="22"/>
        </w:rPr>
        <w:t>и</w:t>
      </w:r>
      <w:r w:rsidR="004757A5">
        <w:rPr>
          <w:rFonts w:ascii="Times New Roman" w:hAnsi="Times New Roman" w:cs="Times New Roman"/>
          <w:sz w:val="22"/>
          <w:szCs w:val="22"/>
        </w:rPr>
        <w:t>Ф</w:t>
      </w:r>
      <w:proofErr w:type="spellEnd"/>
      <w:r>
        <w:rPr>
          <w:rFonts w:ascii="Times New Roman" w:hAnsi="Times New Roman" w:cs="Times New Roman"/>
          <w:sz w:val="22"/>
          <w:szCs w:val="22"/>
        </w:rPr>
        <w:t>;</w:t>
      </w:r>
    </w:p>
    <w:p w:rsidR="004757A5" w:rsidRDefault="004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Pr>
          <w:rFonts w:ascii="Times New Roman" w:hAnsi="Times New Roman" w:cs="Times New Roman"/>
          <w:sz w:val="22"/>
          <w:szCs w:val="22"/>
        </w:rPr>
        <w:t xml:space="preserve">– </w:t>
      </w:r>
      <w:r w:rsidR="009508EE" w:rsidRPr="009508EE">
        <w:rPr>
          <w:rFonts w:ascii="Times New Roman" w:hAnsi="Times New Roman" w:cs="Times New Roman"/>
          <w:sz w:val="22"/>
          <w:szCs w:val="22"/>
        </w:rPr>
        <w:t>Специалист 1 категории</w:t>
      </w:r>
      <w:r w:rsidR="0071325F" w:rsidRPr="009508EE">
        <w:rPr>
          <w:rFonts w:ascii="Times New Roman" w:hAnsi="Times New Roman" w:cs="Times New Roman"/>
          <w:sz w:val="22"/>
          <w:szCs w:val="22"/>
        </w:rPr>
        <w:t xml:space="preserve"> </w:t>
      </w:r>
      <w:r w:rsidR="004757A5">
        <w:rPr>
          <w:rFonts w:ascii="Times New Roman" w:hAnsi="Times New Roman" w:cs="Times New Roman"/>
          <w:sz w:val="22"/>
          <w:szCs w:val="22"/>
        </w:rPr>
        <w:t>по</w:t>
      </w:r>
      <w:r w:rsidR="00936BA5">
        <w:rPr>
          <w:rFonts w:ascii="Times New Roman" w:hAnsi="Times New Roman" w:cs="Times New Roman"/>
          <w:sz w:val="22"/>
          <w:szCs w:val="22"/>
        </w:rPr>
        <w:t xml:space="preserve"> вопросам имущественных и земельных и отношений.</w:t>
      </w:r>
    </w:p>
    <w:p w:rsidR="004D664F" w:rsidRDefault="004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Times New Roman" w:hAnsi="Times New Roman" w:cs="Times New Roman"/>
          <w:sz w:val="22"/>
          <w:szCs w:val="22"/>
        </w:rPr>
        <w:t> </w:t>
      </w:r>
    </w:p>
    <w:p w:rsidR="004757A5" w:rsidRDefault="004D664F" w:rsidP="0047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mbria" w:hAnsi="Cambria" w:cs="Times New Roman"/>
          <w:b/>
          <w:bCs/>
          <w:kern w:val="32"/>
          <w:lang w:eastAsia="ru-RU"/>
        </w:rPr>
      </w:pPr>
      <w:r>
        <w:rPr>
          <w:rFonts w:ascii="Times New Roman" w:hAnsi="Times New Roman" w:cs="Times New Roman"/>
          <w:sz w:val="22"/>
          <w:szCs w:val="22"/>
        </w:rPr>
        <w:t>2. Возложить на комиссию следующие обязанности:</w:t>
      </w:r>
      <w:r>
        <w:rPr>
          <w:rFonts w:ascii="Times New Roman" w:hAnsi="Times New Roman" w:cs="Times New Roman"/>
          <w:sz w:val="22"/>
          <w:szCs w:val="22"/>
        </w:rPr>
        <w:br/>
        <w:t>– осмотр объектов нефинансовых активов в целях принятия к бухучету;</w:t>
      </w:r>
      <w:r>
        <w:rPr>
          <w:rFonts w:ascii="Times New Roman" w:hAnsi="Times New Roman" w:cs="Times New Roman"/>
          <w:sz w:val="22"/>
          <w:szCs w:val="22"/>
        </w:rPr>
        <w:br/>
        <w:t>– определение оценочной (справедливой) стоимости нефинансовых активов в целях бухгалтерского учета;</w:t>
      </w:r>
      <w:r>
        <w:rPr>
          <w:rFonts w:ascii="Times New Roman" w:hAnsi="Times New Roman" w:cs="Times New Roman"/>
          <w:sz w:val="22"/>
          <w:szCs w:val="22"/>
        </w:rPr>
        <w:br/>
        <w:t>– принятие решения об отнесении объектов имущества к основным средствам;</w:t>
      </w:r>
      <w:r>
        <w:rPr>
          <w:rFonts w:ascii="Times New Roman" w:hAnsi="Times New Roman" w:cs="Times New Roman"/>
          <w:sz w:val="22"/>
          <w:szCs w:val="22"/>
        </w:rPr>
        <w:br/>
        <w:t>– осмотр объектов нефинансовых активов, подлежащих списанию (выбытию);</w:t>
      </w:r>
      <w:r>
        <w:rPr>
          <w:rFonts w:ascii="Times New Roman" w:hAnsi="Times New Roman" w:cs="Times New Roman"/>
          <w:sz w:val="22"/>
          <w:szCs w:val="22"/>
        </w:rPr>
        <w:br/>
        <w:t>– принятие решения о целесообразности (пригодности) дальнейшего использования объектов нефинансовых активов, о возможности и эффективности их восстановления;</w:t>
      </w:r>
      <w:r>
        <w:rPr>
          <w:rFonts w:ascii="Times New Roman" w:hAnsi="Times New Roman" w:cs="Times New Roman"/>
          <w:sz w:val="22"/>
          <w:szCs w:val="22"/>
        </w:rPr>
        <w:br/>
        <w:t>– определение возможности использования отдельных узлов, деталей, материальных запасов ликвидируемых объектов;</w:t>
      </w:r>
      <w:r>
        <w:rPr>
          <w:rFonts w:ascii="Times New Roman" w:hAnsi="Times New Roman" w:cs="Times New Roman"/>
          <w:sz w:val="22"/>
          <w:szCs w:val="22"/>
        </w:rPr>
        <w:br/>
        <w:t>– определение причин списания: физический и моральный износ, авария, стихийные бедствия и т. п.;</w:t>
      </w:r>
      <w:r>
        <w:rPr>
          <w:rFonts w:ascii="Times New Roman" w:hAnsi="Times New Roman" w:cs="Times New Roman"/>
          <w:sz w:val="22"/>
          <w:szCs w:val="22"/>
        </w:rPr>
        <w:br/>
        <w:t>– выявление виновных лиц, если объект ликвидируется до истечения нормативного срока службы в связи с обстоятельствами, возникшими по чьей-либо вине;</w:t>
      </w:r>
      <w:r>
        <w:rPr>
          <w:rFonts w:ascii="Times New Roman" w:hAnsi="Times New Roman" w:cs="Times New Roman"/>
          <w:sz w:val="22"/>
          <w:szCs w:val="22"/>
        </w:rPr>
        <w:br/>
        <w:t>– подготовка акта о списании объекта нефинансового актива и документов для согласования с вышестоящей организацией;</w:t>
      </w:r>
      <w:r>
        <w:rPr>
          <w:rFonts w:ascii="Times New Roman" w:hAnsi="Times New Roman" w:cs="Times New Roman"/>
          <w:sz w:val="22"/>
          <w:szCs w:val="22"/>
        </w:rPr>
        <w:br/>
        <w:t>– принятие решения о сдаче вторичного сырья в организации приема вторичного сырья;</w:t>
      </w:r>
      <w:r>
        <w:rPr>
          <w:rFonts w:ascii="Times New Roman" w:hAnsi="Times New Roman" w:cs="Times New Roman"/>
          <w:sz w:val="22"/>
          <w:szCs w:val="22"/>
        </w:rPr>
        <w:br/>
        <w:t>– выявление сомнительной и безнадежной для взыскания дебиторской задолженности;</w:t>
      </w:r>
      <w:r>
        <w:rPr>
          <w:rFonts w:ascii="Times New Roman" w:hAnsi="Times New Roman" w:cs="Times New Roman"/>
          <w:sz w:val="22"/>
          <w:szCs w:val="22"/>
        </w:rPr>
        <w:br/>
      </w:r>
    </w:p>
    <w:p w:rsidR="004757A5" w:rsidRPr="004757A5" w:rsidRDefault="009508EE" w:rsidP="004757A5">
      <w:pPr>
        <w:keepNext/>
        <w:suppressAutoHyphens w:val="0"/>
        <w:spacing w:before="240" w:after="60"/>
        <w:ind w:left="1260"/>
        <w:outlineLvl w:val="0"/>
        <w:rPr>
          <w:rFonts w:ascii="Cambria" w:hAnsi="Cambria" w:cs="Times New Roman"/>
          <w:b/>
          <w:bCs/>
          <w:kern w:val="32"/>
          <w:lang w:eastAsia="ru-RU"/>
        </w:rPr>
      </w:pPr>
      <w:r>
        <w:rPr>
          <w:rFonts w:ascii="Cambria" w:hAnsi="Cambria" w:cs="Times New Roman"/>
          <w:b/>
          <w:bCs/>
          <w:kern w:val="32"/>
          <w:lang w:eastAsia="ru-RU"/>
        </w:rPr>
        <w:t xml:space="preserve">                                                  </w:t>
      </w:r>
      <w:bookmarkStart w:id="0" w:name="_GoBack"/>
      <w:bookmarkEnd w:id="0"/>
      <w:r w:rsidR="004757A5" w:rsidRPr="004757A5">
        <w:rPr>
          <w:rFonts w:ascii="Cambria" w:hAnsi="Cambria" w:cs="Times New Roman"/>
          <w:b/>
          <w:bCs/>
          <w:kern w:val="32"/>
          <w:lang w:eastAsia="ru-RU"/>
        </w:rPr>
        <w:t xml:space="preserve">Положение </w:t>
      </w:r>
    </w:p>
    <w:p w:rsidR="004757A5" w:rsidRPr="004757A5" w:rsidRDefault="004757A5" w:rsidP="004757A5">
      <w:pPr>
        <w:keepNext/>
        <w:suppressAutoHyphens w:val="0"/>
        <w:ind w:left="900"/>
        <w:jc w:val="center"/>
        <w:outlineLvl w:val="0"/>
        <w:rPr>
          <w:rFonts w:ascii="Cambria" w:hAnsi="Cambria" w:cs="Times New Roman"/>
          <w:b/>
          <w:bCs/>
          <w:kern w:val="32"/>
          <w:lang w:eastAsia="ru-RU"/>
        </w:rPr>
      </w:pPr>
      <w:r w:rsidRPr="004757A5">
        <w:rPr>
          <w:rFonts w:ascii="Cambria" w:hAnsi="Cambria" w:cs="Times New Roman"/>
          <w:b/>
          <w:bCs/>
          <w:kern w:val="32"/>
          <w:lang w:eastAsia="ru-RU"/>
        </w:rPr>
        <w:t>о Комиссии по поступлению и выбытию активов</w:t>
      </w:r>
    </w:p>
    <w:p w:rsidR="004757A5" w:rsidRPr="004757A5" w:rsidRDefault="004757A5" w:rsidP="004757A5">
      <w:pPr>
        <w:suppressAutoHyphens w:val="0"/>
        <w:rPr>
          <w:rFonts w:ascii="Cambria" w:hAnsi="Cambria" w:cs="Times New Roman"/>
          <w:lang w:eastAsia="ru-RU"/>
        </w:rPr>
      </w:pP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1. На основании требований Приказа Минфина России № 157н от 01.12.2010г. в учреждении создается постоянно действующая </w:t>
      </w:r>
      <w:r w:rsidRPr="004757A5">
        <w:rPr>
          <w:rFonts w:ascii="Cambria" w:hAnsi="Cambria" w:cs="Times New Roman"/>
          <w:b/>
          <w:i/>
          <w:lang w:eastAsia="ru-RU"/>
        </w:rPr>
        <w:t xml:space="preserve">Комиссия по поступлению и выбытию активов </w:t>
      </w:r>
      <w:r w:rsidRPr="004757A5">
        <w:rPr>
          <w:rFonts w:ascii="Cambria" w:hAnsi="Cambria" w:cs="Times New Roman"/>
          <w:lang w:eastAsia="ru-RU"/>
        </w:rPr>
        <w:t xml:space="preserve">(далее – Комиссия). </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2. Персональный состав Комиссии устанавливается главы Администрации.</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3. Комиссия определяет отдельные вопросы поступления и выбытия всех видов нефинансовых активов, установленные в настоящем Положении. </w:t>
      </w:r>
    </w:p>
    <w:p w:rsidR="004757A5" w:rsidRPr="004757A5" w:rsidRDefault="004757A5" w:rsidP="004757A5">
      <w:pPr>
        <w:suppressAutoHyphens w:val="0"/>
        <w:autoSpaceDE w:val="0"/>
        <w:autoSpaceDN w:val="0"/>
        <w:adjustRightInd w:val="0"/>
        <w:jc w:val="both"/>
        <w:rPr>
          <w:rFonts w:ascii="Cambria" w:hAnsi="Cambria" w:cs="Times New Roman"/>
          <w:lang w:eastAsia="ru-RU"/>
        </w:rPr>
      </w:pPr>
    </w:p>
    <w:p w:rsidR="004757A5" w:rsidRPr="004757A5" w:rsidRDefault="004757A5" w:rsidP="004757A5">
      <w:pPr>
        <w:suppressAutoHyphens w:val="0"/>
        <w:autoSpaceDE w:val="0"/>
        <w:autoSpaceDN w:val="0"/>
        <w:adjustRightInd w:val="0"/>
        <w:jc w:val="center"/>
        <w:rPr>
          <w:rFonts w:ascii="Cambria" w:hAnsi="Cambria" w:cs="Times New Roman"/>
          <w:b/>
          <w:lang w:eastAsia="ru-RU"/>
        </w:rPr>
      </w:pPr>
      <w:r w:rsidRPr="004757A5">
        <w:rPr>
          <w:rFonts w:ascii="Cambria" w:hAnsi="Cambria" w:cs="Times New Roman"/>
          <w:b/>
          <w:lang w:eastAsia="ru-RU"/>
        </w:rPr>
        <w:t>Порядок принятия решения об определении справедливой стоимости активов</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4. Справедливая стоимость актива определяется методом рыночных цен в следующих случаях: </w:t>
      </w:r>
    </w:p>
    <w:p w:rsidR="004757A5" w:rsidRPr="004757A5" w:rsidRDefault="004757A5" w:rsidP="004757A5">
      <w:pPr>
        <w:numPr>
          <w:ilvl w:val="0"/>
          <w:numId w:val="4"/>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При безвозмездном поступлении имущества от организаций (за исключением государственных или муниципальных) и от физических лиц </w:t>
      </w:r>
    </w:p>
    <w:p w:rsidR="004757A5" w:rsidRPr="004757A5" w:rsidRDefault="004757A5" w:rsidP="004757A5">
      <w:pPr>
        <w:numPr>
          <w:ilvl w:val="0"/>
          <w:numId w:val="4"/>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При выявлении излишков по результатам инвентаризации </w:t>
      </w:r>
    </w:p>
    <w:p w:rsidR="004757A5" w:rsidRPr="004757A5" w:rsidRDefault="004757A5" w:rsidP="004757A5">
      <w:pPr>
        <w:numPr>
          <w:ilvl w:val="0"/>
          <w:numId w:val="4"/>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При принятии к учету деталей, узлов, механизмов от списания основных средств, а также лома, ветоши, макулатуры, остающихся от списания или ремонта нефинансовых активов</w:t>
      </w:r>
    </w:p>
    <w:p w:rsidR="004757A5" w:rsidRPr="004757A5" w:rsidRDefault="004757A5" w:rsidP="004757A5">
      <w:pPr>
        <w:numPr>
          <w:ilvl w:val="0"/>
          <w:numId w:val="4"/>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lastRenderedPageBreak/>
        <w:t>При принятии к учету спецоборудования или экспериментальных устройств, остающихся у учреждения после окончания НИР</w:t>
      </w:r>
    </w:p>
    <w:p w:rsidR="004757A5" w:rsidRPr="004757A5" w:rsidRDefault="004757A5" w:rsidP="004757A5">
      <w:pPr>
        <w:numPr>
          <w:ilvl w:val="0"/>
          <w:numId w:val="4"/>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При принятии к учету нефинансовых активов, полученных в результате необменных операций (если иное не установлено соответствующими федеральными стандартами, единой методологией бюджетного учета и бюджетной отчетности)</w:t>
      </w:r>
    </w:p>
    <w:p w:rsidR="004757A5" w:rsidRPr="004757A5" w:rsidRDefault="004757A5" w:rsidP="004757A5">
      <w:pPr>
        <w:numPr>
          <w:ilvl w:val="0"/>
          <w:numId w:val="4"/>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В иных случаях, когда согласно единой методологии бюджетного учета и бюджетной отчетности, установленной в соответствии с бюджетным законодательством РФ, и Инструкцией о порядке составления, представления годовой, квартальной бухгалтерской отчетности государственных (муниципальных) бюджетных и автономных учреждений требуется определение </w:t>
      </w:r>
      <w:r w:rsidRPr="004757A5">
        <w:rPr>
          <w:rFonts w:ascii="Cambria" w:hAnsi="Cambria" w:cs="Times New Roman"/>
          <w:b/>
          <w:i/>
          <w:lang w:eastAsia="ru-RU"/>
        </w:rPr>
        <w:t>оценочной стоимости имущества</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5. Справедливая стоимость актива определяется методом амортизированной стоимости замещения при применении СГС «Обесценение активов» в случае, если определить справедливую стоимость для оценки величины обесценения представляется Комиссии затруднительным. </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6. При определении справедливой стоимости методом рыночных цен в целях принятия к бухгалтерскому учету объекта нефинансовых активов Комиссией используются:</w:t>
      </w:r>
    </w:p>
    <w:p w:rsidR="004757A5" w:rsidRPr="004757A5" w:rsidRDefault="004757A5" w:rsidP="004757A5">
      <w:pPr>
        <w:numPr>
          <w:ilvl w:val="0"/>
          <w:numId w:val="5"/>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Данные о ценах на аналогичные материальные ценности, полученные в письменной форме от организаций-изготовителей или продавцов</w:t>
      </w:r>
    </w:p>
    <w:p w:rsidR="004757A5" w:rsidRPr="004757A5" w:rsidRDefault="004757A5" w:rsidP="004757A5">
      <w:pPr>
        <w:numPr>
          <w:ilvl w:val="1"/>
          <w:numId w:val="5"/>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При принятии решения для новых объектов – используются сведения не менее чем из трех прайс-листов разных организаций-изготовителей (продавцов) путем расчета среднего арифметического. Используемые прайс-листы (коммерческие предложения) прикладываются к решению Комиссии</w:t>
      </w:r>
    </w:p>
    <w:p w:rsidR="004757A5" w:rsidRPr="004757A5" w:rsidRDefault="004757A5" w:rsidP="004757A5">
      <w:pPr>
        <w:numPr>
          <w:ilvl w:val="1"/>
          <w:numId w:val="5"/>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При принятии решения для объектов бывших в эксплуатации – используются сведения из специализированных сайтов объявлений (</w:t>
      </w:r>
      <w:proofErr w:type="spellStart"/>
      <w:r w:rsidRPr="004757A5">
        <w:rPr>
          <w:rFonts w:ascii="Cambria" w:hAnsi="Cambria" w:cs="Times New Roman"/>
          <w:lang w:val="en-US" w:eastAsia="ru-RU"/>
        </w:rPr>
        <w:t>avito</w:t>
      </w:r>
      <w:proofErr w:type="spellEnd"/>
      <w:r w:rsidRPr="004757A5">
        <w:rPr>
          <w:rFonts w:ascii="Cambria" w:hAnsi="Cambria" w:cs="Times New Roman"/>
          <w:lang w:eastAsia="ru-RU"/>
        </w:rPr>
        <w:t>.</w:t>
      </w:r>
      <w:proofErr w:type="spellStart"/>
      <w:r w:rsidRPr="004757A5">
        <w:rPr>
          <w:rFonts w:ascii="Cambria" w:hAnsi="Cambria" w:cs="Times New Roman"/>
          <w:lang w:val="en-US" w:eastAsia="ru-RU"/>
        </w:rPr>
        <w:t>ru</w:t>
      </w:r>
      <w:proofErr w:type="spellEnd"/>
      <w:r w:rsidRPr="004757A5">
        <w:rPr>
          <w:rFonts w:ascii="Cambria" w:hAnsi="Cambria" w:cs="Times New Roman"/>
          <w:lang w:eastAsia="ru-RU"/>
        </w:rPr>
        <w:t xml:space="preserve">, </w:t>
      </w:r>
      <w:proofErr w:type="spellStart"/>
      <w:r w:rsidRPr="004757A5">
        <w:rPr>
          <w:rFonts w:ascii="Cambria" w:hAnsi="Cambria" w:cs="Times New Roman"/>
          <w:lang w:val="en-US" w:eastAsia="ru-RU"/>
        </w:rPr>
        <w:t>irr</w:t>
      </w:r>
      <w:proofErr w:type="spellEnd"/>
      <w:r w:rsidRPr="004757A5">
        <w:rPr>
          <w:rFonts w:ascii="Cambria" w:hAnsi="Cambria" w:cs="Times New Roman"/>
          <w:lang w:eastAsia="ru-RU"/>
        </w:rPr>
        <w:t>.</w:t>
      </w:r>
      <w:proofErr w:type="spellStart"/>
      <w:r w:rsidRPr="004757A5">
        <w:rPr>
          <w:rFonts w:ascii="Cambria" w:hAnsi="Cambria" w:cs="Times New Roman"/>
          <w:lang w:val="en-US" w:eastAsia="ru-RU"/>
        </w:rPr>
        <w:t>ru</w:t>
      </w:r>
      <w:proofErr w:type="spellEnd"/>
      <w:r w:rsidRPr="004757A5">
        <w:rPr>
          <w:rFonts w:ascii="Cambria" w:hAnsi="Cambria" w:cs="Times New Roman"/>
          <w:lang w:eastAsia="ru-RU"/>
        </w:rPr>
        <w:t xml:space="preserve">, </w:t>
      </w:r>
      <w:r w:rsidRPr="004757A5">
        <w:rPr>
          <w:rFonts w:ascii="Cambria" w:hAnsi="Cambria" w:cs="Times New Roman"/>
          <w:lang w:val="en-US" w:eastAsia="ru-RU"/>
        </w:rPr>
        <w:t>auto</w:t>
      </w:r>
      <w:r w:rsidRPr="004757A5">
        <w:rPr>
          <w:rFonts w:ascii="Cambria" w:hAnsi="Cambria" w:cs="Times New Roman"/>
          <w:lang w:eastAsia="ru-RU"/>
        </w:rPr>
        <w:t>.</w:t>
      </w:r>
      <w:proofErr w:type="spellStart"/>
      <w:r w:rsidRPr="004757A5">
        <w:rPr>
          <w:rFonts w:ascii="Cambria" w:hAnsi="Cambria" w:cs="Times New Roman"/>
          <w:lang w:val="en-US" w:eastAsia="ru-RU"/>
        </w:rPr>
        <w:t>ru</w:t>
      </w:r>
      <w:proofErr w:type="spellEnd"/>
      <w:r w:rsidRPr="004757A5">
        <w:rPr>
          <w:rFonts w:ascii="Cambria" w:hAnsi="Cambria" w:cs="Times New Roman"/>
          <w:lang w:eastAsia="ru-RU"/>
        </w:rPr>
        <w:t xml:space="preserve">, </w:t>
      </w:r>
      <w:proofErr w:type="spellStart"/>
      <w:r w:rsidRPr="004757A5">
        <w:rPr>
          <w:rFonts w:ascii="Cambria" w:hAnsi="Cambria" w:cs="Times New Roman"/>
          <w:lang w:val="en-US" w:eastAsia="ru-RU"/>
        </w:rPr>
        <w:t>youla</w:t>
      </w:r>
      <w:proofErr w:type="spellEnd"/>
      <w:r w:rsidRPr="004757A5">
        <w:rPr>
          <w:rFonts w:ascii="Cambria" w:hAnsi="Cambria" w:cs="Times New Roman"/>
          <w:lang w:eastAsia="ru-RU"/>
        </w:rPr>
        <w:t>.</w:t>
      </w:r>
      <w:proofErr w:type="spellStart"/>
      <w:r w:rsidRPr="004757A5">
        <w:rPr>
          <w:rFonts w:ascii="Cambria" w:hAnsi="Cambria" w:cs="Times New Roman"/>
          <w:lang w:val="en-US" w:eastAsia="ru-RU"/>
        </w:rPr>
        <w:t>io</w:t>
      </w:r>
      <w:proofErr w:type="spellEnd"/>
      <w:r w:rsidRPr="004757A5">
        <w:rPr>
          <w:rFonts w:ascii="Cambria" w:hAnsi="Cambria" w:cs="Times New Roman"/>
          <w:lang w:eastAsia="ru-RU"/>
        </w:rPr>
        <w:t xml:space="preserve"> и аналогичных перечисленным), путем расчета среднего арифметического не менее чем из трех объявлений. Использованные при расчете объявления прикладываются к решению Комиссии</w:t>
      </w:r>
    </w:p>
    <w:p w:rsidR="004757A5" w:rsidRPr="004757A5" w:rsidRDefault="004757A5" w:rsidP="004757A5">
      <w:pPr>
        <w:numPr>
          <w:ilvl w:val="0"/>
          <w:numId w:val="5"/>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Сведения об уровне цен, имеющиеся у органов государственной статистики. В данном случае к решению Комиссии прикладывается официальный ответ от органа статистики или сведения с официального сайта</w:t>
      </w:r>
    </w:p>
    <w:p w:rsidR="004757A5" w:rsidRPr="004757A5" w:rsidRDefault="004757A5" w:rsidP="004757A5">
      <w:pPr>
        <w:numPr>
          <w:ilvl w:val="0"/>
          <w:numId w:val="5"/>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Иные сведения об уровне цен, полученные из средств массовой информации (в том числе и из сети </w:t>
      </w:r>
      <w:r w:rsidRPr="004757A5">
        <w:rPr>
          <w:rFonts w:ascii="Cambria" w:hAnsi="Cambria" w:cs="Times New Roman"/>
          <w:lang w:val="en-US" w:eastAsia="ru-RU"/>
        </w:rPr>
        <w:t>Internet</w:t>
      </w:r>
      <w:r w:rsidRPr="004757A5">
        <w:rPr>
          <w:rFonts w:ascii="Cambria" w:hAnsi="Cambria" w:cs="Times New Roman"/>
          <w:lang w:eastAsia="ru-RU"/>
        </w:rPr>
        <w:t>) и специальной литературы</w:t>
      </w:r>
    </w:p>
    <w:p w:rsidR="004757A5" w:rsidRPr="004757A5" w:rsidRDefault="004757A5" w:rsidP="004757A5">
      <w:pPr>
        <w:numPr>
          <w:ilvl w:val="0"/>
          <w:numId w:val="5"/>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Экспертные заключения (в том числе экспертов, привлеченных на добровольных началах к работе в Комиссии) о стоимости отдельных (аналогичных) объектов нефинансовых активов</w:t>
      </w:r>
    </w:p>
    <w:p w:rsidR="004757A5" w:rsidRPr="004757A5" w:rsidRDefault="004757A5" w:rsidP="004757A5">
      <w:pPr>
        <w:suppressAutoHyphens w:val="0"/>
        <w:autoSpaceDE w:val="0"/>
        <w:autoSpaceDN w:val="0"/>
        <w:adjustRightInd w:val="0"/>
        <w:jc w:val="both"/>
        <w:rPr>
          <w:rFonts w:ascii="Cambria" w:hAnsi="Cambria" w:cs="Times New Roman"/>
          <w:lang w:eastAsia="ru-RU"/>
        </w:rPr>
      </w:pP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6.1. В случае если данные о ценах на аналогичные или схожие материальные ценности по каким-либо причинам недоступны, то для своевременного отражения операции в бухгалтерском учете применятся оценочная стоимость в условной оценке равной одному рублю. После получения оценки Комиссия осуществляет пересмотр ранее установленной стоимости (п. 25 Инструкции 157н). </w:t>
      </w:r>
    </w:p>
    <w:p w:rsidR="004757A5" w:rsidRPr="004757A5" w:rsidRDefault="004757A5" w:rsidP="004757A5">
      <w:pPr>
        <w:suppressAutoHyphens w:val="0"/>
        <w:autoSpaceDE w:val="0"/>
        <w:autoSpaceDN w:val="0"/>
        <w:adjustRightInd w:val="0"/>
        <w:jc w:val="both"/>
        <w:rPr>
          <w:rFonts w:ascii="Cambria" w:hAnsi="Cambria" w:cs="Times New Roman"/>
          <w:lang w:eastAsia="ru-RU"/>
        </w:rPr>
      </w:pP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lastRenderedPageBreak/>
        <w:t>6.2. Определение справедливой стоимости арендных платежей для объектов учета операционной аренды (п. 27.1 Приказа 258н) производится в порядке, установленном п. 6 настоящего Положения. При этом берутся данные:</w:t>
      </w:r>
    </w:p>
    <w:p w:rsidR="004757A5" w:rsidRPr="004757A5" w:rsidRDefault="004757A5" w:rsidP="004757A5">
      <w:pPr>
        <w:numPr>
          <w:ilvl w:val="0"/>
          <w:numId w:val="12"/>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О средней стоимости аренды недвижимого имущества, полученные от органа, наделенного полномочиями управления государственным (муниципальным) имуществом, или, при отсутствии таких сведений:</w:t>
      </w:r>
    </w:p>
    <w:p w:rsidR="004757A5" w:rsidRPr="004757A5" w:rsidRDefault="004757A5" w:rsidP="004757A5">
      <w:pPr>
        <w:numPr>
          <w:ilvl w:val="0"/>
          <w:numId w:val="12"/>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Из не менее чем трех предложений из аукционов по аренде аналогичного объекта имущества за весь срок пользования объектом с сайта </w:t>
      </w:r>
      <w:proofErr w:type="spellStart"/>
      <w:r w:rsidRPr="004757A5">
        <w:rPr>
          <w:rFonts w:ascii="Cambria" w:hAnsi="Cambria" w:cs="Times New Roman"/>
          <w:lang w:val="en-US" w:eastAsia="ru-RU"/>
        </w:rPr>
        <w:t>torgi</w:t>
      </w:r>
      <w:proofErr w:type="spellEnd"/>
      <w:r w:rsidRPr="004757A5">
        <w:rPr>
          <w:rFonts w:ascii="Cambria" w:hAnsi="Cambria" w:cs="Times New Roman"/>
          <w:lang w:eastAsia="ru-RU"/>
        </w:rPr>
        <w:t>.</w:t>
      </w:r>
      <w:proofErr w:type="spellStart"/>
      <w:r w:rsidRPr="004757A5">
        <w:rPr>
          <w:rFonts w:ascii="Cambria" w:hAnsi="Cambria" w:cs="Times New Roman"/>
          <w:lang w:val="en-US" w:eastAsia="ru-RU"/>
        </w:rPr>
        <w:t>gov</w:t>
      </w:r>
      <w:proofErr w:type="spellEnd"/>
      <w:r w:rsidRPr="004757A5">
        <w:rPr>
          <w:rFonts w:ascii="Cambria" w:hAnsi="Cambria" w:cs="Times New Roman"/>
          <w:lang w:eastAsia="ru-RU"/>
        </w:rPr>
        <w:t>.</w:t>
      </w:r>
      <w:proofErr w:type="spellStart"/>
      <w:r w:rsidRPr="004757A5">
        <w:rPr>
          <w:rFonts w:ascii="Cambria" w:hAnsi="Cambria" w:cs="Times New Roman"/>
          <w:lang w:val="en-US" w:eastAsia="ru-RU"/>
        </w:rPr>
        <w:t>ru</w:t>
      </w:r>
      <w:proofErr w:type="spellEnd"/>
    </w:p>
    <w:p w:rsidR="004757A5" w:rsidRPr="004757A5" w:rsidRDefault="004757A5" w:rsidP="004757A5">
      <w:pPr>
        <w:numPr>
          <w:ilvl w:val="0"/>
          <w:numId w:val="12"/>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Из не менее чем трех коммерческих предложений по аренде аналогичного объекта имущества за весь срок пользования объектом</w:t>
      </w:r>
    </w:p>
    <w:p w:rsidR="004757A5" w:rsidRPr="004757A5" w:rsidRDefault="004757A5" w:rsidP="004757A5">
      <w:pPr>
        <w:suppressAutoHyphens w:val="0"/>
        <w:autoSpaceDE w:val="0"/>
        <w:autoSpaceDN w:val="0"/>
        <w:adjustRightInd w:val="0"/>
        <w:jc w:val="both"/>
        <w:rPr>
          <w:rFonts w:ascii="Cambria" w:hAnsi="Cambria" w:cs="Times New Roman"/>
          <w:lang w:eastAsia="ru-RU"/>
        </w:rPr>
      </w:pP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7. Определение справедливой стоимости методом амортизированной стоимости замещения осуществляется в соответствии с п. 56 Приказа 256н.</w:t>
      </w:r>
    </w:p>
    <w:p w:rsidR="004757A5" w:rsidRPr="004757A5" w:rsidRDefault="004757A5" w:rsidP="004757A5">
      <w:pPr>
        <w:suppressAutoHyphens w:val="0"/>
        <w:autoSpaceDE w:val="0"/>
        <w:autoSpaceDN w:val="0"/>
        <w:adjustRightInd w:val="0"/>
        <w:jc w:val="both"/>
        <w:rPr>
          <w:rFonts w:ascii="Cambria" w:hAnsi="Cambria" w:cs="Times New Roman"/>
          <w:lang w:eastAsia="ru-RU"/>
        </w:rPr>
      </w:pPr>
    </w:p>
    <w:p w:rsidR="004757A5" w:rsidRPr="004757A5" w:rsidRDefault="004757A5" w:rsidP="004757A5">
      <w:pPr>
        <w:suppressAutoHyphens w:val="0"/>
        <w:autoSpaceDE w:val="0"/>
        <w:autoSpaceDN w:val="0"/>
        <w:adjustRightInd w:val="0"/>
        <w:jc w:val="center"/>
        <w:rPr>
          <w:rFonts w:ascii="Cambria" w:hAnsi="Cambria" w:cs="Times New Roman"/>
          <w:b/>
          <w:lang w:eastAsia="ru-RU"/>
        </w:rPr>
      </w:pPr>
      <w:r w:rsidRPr="004757A5">
        <w:rPr>
          <w:rFonts w:ascii="Cambria" w:hAnsi="Cambria" w:cs="Times New Roman"/>
          <w:b/>
          <w:lang w:eastAsia="ru-RU"/>
        </w:rPr>
        <w:t>Порядок принятия решения об определении кода ОКОФ и срока полезного использования основных средств</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8. Группировка объектов основных средств, принимаемых к учету с 1 января 2017 года, осуществляется в соответствии с группировкой, предусмотренной Общероссийским классификатором основных фондов ОКОФ ОК 013-2014 (СНС)) и сроками полезного использования, определенными положениями постановления Правительства Российской Федерации от 1 января 2002 г. N 1 "О классификации основных средств, включаемых в амортизационные группы" (в редакции постановления Правительства Российской Федерации от 7 июля 2016 г. N 640). В случае невозможности однозначного определения кода ОКОФ для таких основных фондов, Комиссия: </w:t>
      </w:r>
    </w:p>
    <w:p w:rsidR="004757A5" w:rsidRPr="004757A5" w:rsidRDefault="004757A5" w:rsidP="004757A5">
      <w:pPr>
        <w:numPr>
          <w:ilvl w:val="0"/>
          <w:numId w:val="7"/>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Определяет код ОКОФ в соответствии с Классификатором ОК 013-94, а затем переводит указанный код в соответствии с Приказом Федерального агентства по техническому регулированию и метрологии от 21 апреля 2016 г. N 458</w:t>
      </w:r>
    </w:p>
    <w:p w:rsidR="004757A5" w:rsidRPr="004757A5" w:rsidRDefault="004757A5" w:rsidP="004757A5">
      <w:pPr>
        <w:numPr>
          <w:ilvl w:val="0"/>
          <w:numId w:val="7"/>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В случае наличия противоречий в применении прямого (обратного) переходных ключей, утвержденных Приказом N 458, и ОКОФ ОК 013-2014 (СНС), а также отсутствия позиций в новых кодах ОКОФ ОК 013-2014 (СНС) для объектов учета, ранее включаемых в группы материальных ценностей, по своим критериям являющихся основными средствами, комиссия по поступлению и выбытию активов субъекта учета может принимать самостоятельное решение по отнесению указанных объектов к соответствующей группе кодов ОКОФ ОК 013-2014 (СНС)</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9. Срок полезного использования поступающего актива при отсутствии в законодательстве РФ норм, устанавливающих сроки полезного использования имущества в целях начисления амортизации (в том числе в случае, когда примененный код ОКОФ одновременно определен в нескольких амортизационных группах), а также в случаях отсутствия информации в документах производителя устанавливается решением Комиссии на основании: </w:t>
      </w:r>
    </w:p>
    <w:p w:rsidR="004757A5" w:rsidRPr="004757A5" w:rsidRDefault="004757A5" w:rsidP="004757A5">
      <w:pPr>
        <w:numPr>
          <w:ilvl w:val="0"/>
          <w:numId w:val="6"/>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Ожидаемого срока использования этого объекта в соответствии с ожидаемой производительностью или мощностью</w:t>
      </w:r>
    </w:p>
    <w:p w:rsidR="004757A5" w:rsidRPr="004757A5" w:rsidRDefault="004757A5" w:rsidP="004757A5">
      <w:pPr>
        <w:numPr>
          <w:ilvl w:val="0"/>
          <w:numId w:val="6"/>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4757A5" w:rsidRPr="004757A5" w:rsidRDefault="004757A5" w:rsidP="004757A5">
      <w:pPr>
        <w:numPr>
          <w:ilvl w:val="0"/>
          <w:numId w:val="6"/>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Нормативно-правовых и других ограничений использования этого объекта</w:t>
      </w:r>
    </w:p>
    <w:p w:rsidR="004757A5" w:rsidRPr="004757A5" w:rsidRDefault="004757A5" w:rsidP="004757A5">
      <w:pPr>
        <w:numPr>
          <w:ilvl w:val="0"/>
          <w:numId w:val="6"/>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Гарантийного срока использования объекта</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lastRenderedPageBreak/>
        <w:t xml:space="preserve">9. Срок полезного использования по активам, бывшим в употреблении и полученным учреждением безвозмездно от юридических (физических) лиц, не являющихся субъектами бюджетного учета и от физических лиц, определяется Комиссией аналогично п. 9 настоящего Положения. </w:t>
      </w:r>
    </w:p>
    <w:p w:rsidR="004757A5" w:rsidRPr="004757A5" w:rsidRDefault="004757A5" w:rsidP="004757A5">
      <w:pPr>
        <w:suppressAutoHyphens w:val="0"/>
        <w:autoSpaceDE w:val="0"/>
        <w:autoSpaceDN w:val="0"/>
        <w:adjustRightInd w:val="0"/>
        <w:jc w:val="both"/>
        <w:rPr>
          <w:rFonts w:ascii="Cambria" w:hAnsi="Cambria" w:cs="Times New Roman"/>
          <w:lang w:eastAsia="ru-RU"/>
        </w:rPr>
      </w:pPr>
    </w:p>
    <w:p w:rsidR="004757A5" w:rsidRPr="004757A5" w:rsidRDefault="004757A5" w:rsidP="004757A5">
      <w:pPr>
        <w:suppressAutoHyphens w:val="0"/>
        <w:autoSpaceDE w:val="0"/>
        <w:autoSpaceDN w:val="0"/>
        <w:adjustRightInd w:val="0"/>
        <w:jc w:val="center"/>
        <w:rPr>
          <w:rFonts w:ascii="Cambria" w:hAnsi="Cambria" w:cs="Times New Roman"/>
          <w:b/>
          <w:lang w:eastAsia="ru-RU"/>
        </w:rPr>
      </w:pPr>
      <w:r w:rsidRPr="004757A5">
        <w:rPr>
          <w:rFonts w:ascii="Cambria" w:hAnsi="Cambria" w:cs="Times New Roman"/>
          <w:b/>
          <w:lang w:eastAsia="ru-RU"/>
        </w:rPr>
        <w:t>Порядок принятия решения об изменении первоначальной стоимости активов (основных средств)</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10. Изменение балансовой стоимости объекта основных средств после его признания в бухгалтерском учете возможно в случаях:</w:t>
      </w:r>
    </w:p>
    <w:p w:rsidR="004757A5" w:rsidRPr="004757A5" w:rsidRDefault="004757A5" w:rsidP="004757A5">
      <w:pPr>
        <w:numPr>
          <w:ilvl w:val="0"/>
          <w:numId w:val="8"/>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4757A5">
        <w:rPr>
          <w:rFonts w:ascii="Cambria" w:hAnsi="Cambria" w:cs="Times New Roman"/>
          <w:lang w:eastAsia="ru-RU"/>
        </w:rPr>
        <w:t>разукомплектации</w:t>
      </w:r>
      <w:proofErr w:type="spellEnd"/>
      <w:r w:rsidRPr="004757A5">
        <w:rPr>
          <w:rFonts w:ascii="Cambria" w:hAnsi="Cambria" w:cs="Times New Roman"/>
          <w:lang w:eastAsia="ru-RU"/>
        </w:rPr>
        <w:t>)</w:t>
      </w:r>
    </w:p>
    <w:p w:rsidR="004757A5" w:rsidRPr="004757A5" w:rsidRDefault="004757A5" w:rsidP="004757A5">
      <w:pPr>
        <w:numPr>
          <w:ilvl w:val="0"/>
          <w:numId w:val="8"/>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замещения (частичной замены в рамках капитального ремонта в целях реконструкции, технического перевооружения, модернизации) объекта или его составной части</w:t>
      </w:r>
    </w:p>
    <w:p w:rsidR="004757A5" w:rsidRPr="004757A5" w:rsidRDefault="004757A5" w:rsidP="004757A5">
      <w:pPr>
        <w:numPr>
          <w:ilvl w:val="0"/>
          <w:numId w:val="8"/>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переоценки объектов основных средств</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11. </w:t>
      </w:r>
      <w:proofErr w:type="spellStart"/>
      <w:r w:rsidRPr="004757A5">
        <w:rPr>
          <w:rFonts w:ascii="Cambria" w:hAnsi="Cambria" w:cs="Times New Roman"/>
          <w:lang w:eastAsia="ru-RU"/>
        </w:rPr>
        <w:t>Разукомплектация</w:t>
      </w:r>
      <w:proofErr w:type="spellEnd"/>
      <w:r w:rsidRPr="004757A5">
        <w:rPr>
          <w:rFonts w:ascii="Cambria" w:hAnsi="Cambria" w:cs="Times New Roman"/>
          <w:lang w:eastAsia="ru-RU"/>
        </w:rPr>
        <w:t xml:space="preserve"> и частичная ликвидация основных средств оформляется решением Комиссии и оформляется Актом о </w:t>
      </w:r>
      <w:proofErr w:type="spellStart"/>
      <w:r w:rsidRPr="004757A5">
        <w:rPr>
          <w:rFonts w:ascii="Cambria" w:hAnsi="Cambria" w:cs="Times New Roman"/>
          <w:lang w:eastAsia="ru-RU"/>
        </w:rPr>
        <w:t>разукомплектации</w:t>
      </w:r>
      <w:proofErr w:type="spellEnd"/>
      <w:r w:rsidRPr="004757A5">
        <w:rPr>
          <w:rFonts w:ascii="Cambria" w:hAnsi="Cambria" w:cs="Times New Roman"/>
          <w:lang w:eastAsia="ru-RU"/>
        </w:rPr>
        <w:t xml:space="preserve">. При этом Комиссией определяется: </w:t>
      </w:r>
    </w:p>
    <w:p w:rsidR="004757A5" w:rsidRPr="004757A5" w:rsidRDefault="004757A5" w:rsidP="004757A5">
      <w:pPr>
        <w:numPr>
          <w:ilvl w:val="0"/>
          <w:numId w:val="3"/>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балансовая стоимость объектов, остающихся после </w:t>
      </w:r>
      <w:proofErr w:type="spellStart"/>
      <w:r w:rsidRPr="004757A5">
        <w:rPr>
          <w:rFonts w:ascii="Cambria" w:hAnsi="Cambria" w:cs="Times New Roman"/>
          <w:lang w:eastAsia="ru-RU"/>
        </w:rPr>
        <w:t>разукомплектации</w:t>
      </w:r>
      <w:proofErr w:type="spellEnd"/>
      <w:r w:rsidRPr="004757A5">
        <w:rPr>
          <w:rFonts w:ascii="Cambria" w:hAnsi="Cambria" w:cs="Times New Roman"/>
          <w:lang w:eastAsia="ru-RU"/>
        </w:rPr>
        <w:t>, а также суммы начисленной амортизации, относящиеся к этим объектам</w:t>
      </w:r>
    </w:p>
    <w:p w:rsidR="004757A5" w:rsidRPr="004757A5" w:rsidRDefault="004757A5" w:rsidP="004757A5">
      <w:pPr>
        <w:numPr>
          <w:ilvl w:val="0"/>
          <w:numId w:val="3"/>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стоимости частей, списываемых из объекта и амортизация, относящаяся к этим частям</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12. При определении списываемых частей объекта основных средств, их стоимость (как часть стоимости объекта основных средств) определяется: </w:t>
      </w:r>
    </w:p>
    <w:p w:rsidR="004757A5" w:rsidRPr="004757A5" w:rsidRDefault="004757A5" w:rsidP="004757A5">
      <w:pPr>
        <w:numPr>
          <w:ilvl w:val="0"/>
          <w:numId w:val="9"/>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по документам поставщика, полученным при принятии объекта к учету </w:t>
      </w:r>
    </w:p>
    <w:p w:rsidR="004757A5" w:rsidRPr="004757A5" w:rsidRDefault="004757A5" w:rsidP="004757A5">
      <w:pPr>
        <w:numPr>
          <w:ilvl w:val="0"/>
          <w:numId w:val="9"/>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при отсутствии документов поставщика – по справедливой стоимости, определяемой методом рыночных цен (с учетом срока использования объекта) в соответствии с п. 6 настоящего Положения </w:t>
      </w:r>
    </w:p>
    <w:p w:rsidR="004757A5" w:rsidRPr="004757A5" w:rsidRDefault="004757A5" w:rsidP="004757A5">
      <w:pPr>
        <w:numPr>
          <w:ilvl w:val="0"/>
          <w:numId w:val="9"/>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при отсутствии документов поставщика и при невозможности определения справедливой стоимости – на основании экспертного заключения </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13. Если после признания объекта основных средств (формирования первоначальной стоимости объекта основных средств) в его балансовую стоимость включаются затраты на замену части объекта, то остаточная стоимость замененной (выбывшей) части объекта основных средств должна быть отнесена на финансовый результат текущего периода (списана с бухгалтерского учета) вне зависимости от того, амортизировалась ли эта часть объекта основных средств отдельно или нет. В случае, когда определить остаточную стоимость замененной части объекта основных средств не представляется возможным, величина относимой на финансовый результат текущего периода остаточной стоимости, замененной (выбывшей) части объекта основных средств может быть эквивалентна затратам на ее замену (приобретения или строительства) на момент их признания (п. 50 Приказа 257н). </w:t>
      </w:r>
    </w:p>
    <w:p w:rsidR="004757A5" w:rsidRPr="004757A5" w:rsidRDefault="004757A5" w:rsidP="004757A5">
      <w:pPr>
        <w:suppressAutoHyphens w:val="0"/>
        <w:autoSpaceDE w:val="0"/>
        <w:autoSpaceDN w:val="0"/>
        <w:adjustRightInd w:val="0"/>
        <w:jc w:val="both"/>
        <w:rPr>
          <w:rFonts w:ascii="Cambria" w:hAnsi="Cambria" w:cs="Times New Roman"/>
          <w:lang w:eastAsia="ru-RU"/>
        </w:rPr>
      </w:pPr>
    </w:p>
    <w:p w:rsidR="004757A5" w:rsidRPr="004757A5" w:rsidRDefault="004757A5" w:rsidP="004757A5">
      <w:pPr>
        <w:suppressAutoHyphens w:val="0"/>
        <w:autoSpaceDE w:val="0"/>
        <w:autoSpaceDN w:val="0"/>
        <w:adjustRightInd w:val="0"/>
        <w:jc w:val="center"/>
        <w:rPr>
          <w:rFonts w:ascii="Cambria" w:hAnsi="Cambria" w:cs="Times New Roman"/>
          <w:b/>
          <w:lang w:eastAsia="ru-RU"/>
        </w:rPr>
      </w:pPr>
      <w:r w:rsidRPr="004757A5">
        <w:rPr>
          <w:rFonts w:ascii="Cambria" w:hAnsi="Cambria" w:cs="Times New Roman"/>
          <w:b/>
          <w:lang w:eastAsia="ru-RU"/>
        </w:rPr>
        <w:t>Порядок принятия решения о списании активов (основных средств)</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14. Выбытие объектов нефинансовых активов оформляется по основаниям, определенным решением Комиссии. При этом 100% амортизация объекта не является основанием для их выбытия. </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lastRenderedPageBreak/>
        <w:t>15. Выбытие объекта основных средств производится при прекращении получения экономических выгод или полезного потенциала от дальнейшего использования:</w:t>
      </w:r>
    </w:p>
    <w:p w:rsidR="004757A5" w:rsidRPr="004757A5" w:rsidRDefault="004757A5" w:rsidP="004757A5">
      <w:pPr>
        <w:numPr>
          <w:ilvl w:val="0"/>
          <w:numId w:val="10"/>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в случае поломки при невозможности или экономической нецелесообразности ремонта объекта</w:t>
      </w:r>
    </w:p>
    <w:p w:rsidR="004757A5" w:rsidRPr="004757A5" w:rsidRDefault="004757A5" w:rsidP="004757A5">
      <w:pPr>
        <w:numPr>
          <w:ilvl w:val="0"/>
          <w:numId w:val="10"/>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по причине полного физического или морального износа </w:t>
      </w:r>
    </w:p>
    <w:p w:rsidR="004757A5" w:rsidRPr="004757A5" w:rsidRDefault="004757A5" w:rsidP="004757A5">
      <w:pPr>
        <w:numPr>
          <w:ilvl w:val="0"/>
          <w:numId w:val="10"/>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в иных случаях, обоснованных в решении Комиссии о списании </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6. При списании: </w:t>
      </w:r>
    </w:p>
    <w:p w:rsidR="004757A5" w:rsidRPr="004757A5" w:rsidRDefault="004757A5" w:rsidP="004757A5">
      <w:pPr>
        <w:numPr>
          <w:ilvl w:val="0"/>
          <w:numId w:val="11"/>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Объектов, пришедших в негодное состояние в результате аварий, пожаров, стихийных бедствий и иных чрезвычайных ситуациях, к документу о списании прилагаются документы, подтверждающие вышеуказанные обстоятельства (копии актов соответствующих учреждений)</w:t>
      </w:r>
    </w:p>
    <w:p w:rsidR="004757A5" w:rsidRPr="004757A5" w:rsidRDefault="004757A5" w:rsidP="004757A5">
      <w:pPr>
        <w:numPr>
          <w:ilvl w:val="0"/>
          <w:numId w:val="11"/>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Мебели и иных объектов хозяйственного и мягкого инвентаря – решение о списании принимается Комиссией только после личного осмотра и получения заключения профильного сотрудника учреждения о невозможности ремонта указанного имущества</w:t>
      </w:r>
    </w:p>
    <w:p w:rsidR="004757A5" w:rsidRPr="004757A5" w:rsidRDefault="004757A5" w:rsidP="004757A5">
      <w:pPr>
        <w:numPr>
          <w:ilvl w:val="0"/>
          <w:numId w:val="11"/>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Мелкой бытовой техники и электроники (стоимостью до 50.000 рублей) – решение о списании принимается после получения заключения профильного сотрудника учреждения о невозможности ремонта указанного имущества. А при отсутствии в штате Учреждения профильного сотрудника – после получения технического заключения мастерских по ремонту бытовой техники или дефектной ведомости о невозможности восстановления</w:t>
      </w:r>
    </w:p>
    <w:p w:rsidR="004757A5" w:rsidRPr="004757A5" w:rsidRDefault="004757A5" w:rsidP="004757A5">
      <w:pPr>
        <w:numPr>
          <w:ilvl w:val="0"/>
          <w:numId w:val="11"/>
        </w:num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Крупной бытовой техники и дорогостоящей электроники (стоимостью более 50.000 рублей) - к документу о списании объекта прилагается техническое заключение мастерских по ремонту бытовой техники или дефектная ведомость о невозможности восстановления</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17. В случае необходимости согласования факта распоряжения имуществом с учредителем (собственником) имущества, Комиссия подготавливает соответствующие документы для направления учредителю (собственнику) имущества. </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 xml:space="preserve">18. Ответственность за формирование Комиссии несет глава Администрации. </w:t>
      </w:r>
    </w:p>
    <w:p w:rsidR="004757A5" w:rsidRPr="004757A5" w:rsidRDefault="004757A5" w:rsidP="004757A5">
      <w:pPr>
        <w:suppressAutoHyphens w:val="0"/>
        <w:autoSpaceDE w:val="0"/>
        <w:autoSpaceDN w:val="0"/>
        <w:adjustRightInd w:val="0"/>
        <w:jc w:val="both"/>
        <w:rPr>
          <w:rFonts w:ascii="Cambria" w:hAnsi="Cambria" w:cs="Times New Roman"/>
          <w:lang w:eastAsia="ru-RU"/>
        </w:rPr>
      </w:pPr>
      <w:r w:rsidRPr="004757A5">
        <w:rPr>
          <w:rFonts w:ascii="Cambria" w:hAnsi="Cambria" w:cs="Times New Roman"/>
          <w:lang w:eastAsia="ru-RU"/>
        </w:rPr>
        <w:t>19. Ответственность за определения справедливой (оценочной) стоимости и срока полезного использования согласно несут члены Комиссии.</w:t>
      </w:r>
    </w:p>
    <w:p w:rsidR="004757A5" w:rsidRPr="004757A5" w:rsidRDefault="0047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sectPr w:rsidR="004757A5" w:rsidRPr="004757A5" w:rsidSect="005D3C58">
      <w:headerReference w:type="default" r:id="rId7"/>
      <w:footerReference w:type="default" r:id="rId8"/>
      <w:headerReference w:type="first" r:id="rId9"/>
      <w:footerReference w:type="first" r:id="rId10"/>
      <w:pgSz w:w="11906" w:h="16838"/>
      <w:pgMar w:top="1134" w:right="1509" w:bottom="1134" w:left="1509"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1F8" w:rsidRDefault="004861F8">
      <w:r>
        <w:separator/>
      </w:r>
    </w:p>
  </w:endnote>
  <w:endnote w:type="continuationSeparator" w:id="0">
    <w:p w:rsidR="004861F8" w:rsidRDefault="00486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64F" w:rsidRDefault="004D664F">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64F" w:rsidRDefault="004D664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1F8" w:rsidRDefault="004861F8">
      <w:r>
        <w:separator/>
      </w:r>
    </w:p>
  </w:footnote>
  <w:footnote w:type="continuationSeparator" w:id="0">
    <w:p w:rsidR="004861F8" w:rsidRDefault="004861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64F" w:rsidRDefault="004D664F">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64F" w:rsidRDefault="004D664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485AEA"/>
    <w:multiLevelType w:val="hybridMultilevel"/>
    <w:tmpl w:val="1A881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477748"/>
    <w:multiLevelType w:val="hybridMultilevel"/>
    <w:tmpl w:val="B1EE929A"/>
    <w:lvl w:ilvl="0" w:tplc="04190001">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cs="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cs="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cs="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3" w15:restartNumberingAfterBreak="0">
    <w:nsid w:val="0F9F7612"/>
    <w:multiLevelType w:val="hybridMultilevel"/>
    <w:tmpl w:val="A5FA0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20085A"/>
    <w:multiLevelType w:val="hybridMultilevel"/>
    <w:tmpl w:val="2A800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0A76C7"/>
    <w:multiLevelType w:val="hybridMultilevel"/>
    <w:tmpl w:val="24E489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0703B7"/>
    <w:multiLevelType w:val="hybridMultilevel"/>
    <w:tmpl w:val="79368A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FEB62E8"/>
    <w:multiLevelType w:val="hybridMultilevel"/>
    <w:tmpl w:val="650E6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1C659F7"/>
    <w:multiLevelType w:val="hybridMultilevel"/>
    <w:tmpl w:val="40FA3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7B15885"/>
    <w:multiLevelType w:val="hybridMultilevel"/>
    <w:tmpl w:val="82906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E4D28DE"/>
    <w:multiLevelType w:val="hybridMultilevel"/>
    <w:tmpl w:val="0C06C82C"/>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7EAB2E06"/>
    <w:multiLevelType w:val="hybridMultilevel"/>
    <w:tmpl w:val="CF186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9"/>
  </w:num>
  <w:num w:numId="4">
    <w:abstractNumId w:val="3"/>
  </w:num>
  <w:num w:numId="5">
    <w:abstractNumId w:val="6"/>
  </w:num>
  <w:num w:numId="6">
    <w:abstractNumId w:val="1"/>
  </w:num>
  <w:num w:numId="7">
    <w:abstractNumId w:val="11"/>
  </w:num>
  <w:num w:numId="8">
    <w:abstractNumId w:val="7"/>
  </w:num>
  <w:num w:numId="9">
    <w:abstractNumId w:val="2"/>
  </w:num>
  <w:num w:numId="10">
    <w:abstractNumId w:val="8"/>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757A5"/>
    <w:rsid w:val="00082483"/>
    <w:rsid w:val="001C0BDD"/>
    <w:rsid w:val="00385E83"/>
    <w:rsid w:val="004757A5"/>
    <w:rsid w:val="004861F8"/>
    <w:rsid w:val="004D664F"/>
    <w:rsid w:val="005C51A7"/>
    <w:rsid w:val="005D3C58"/>
    <w:rsid w:val="0071325F"/>
    <w:rsid w:val="00936BA5"/>
    <w:rsid w:val="009508EE"/>
    <w:rsid w:val="00C477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5FBDF3"/>
  <w15:docId w15:val="{07ACD005-76FB-4D25-A29D-20823861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C58"/>
    <w:pPr>
      <w:suppressAutoHyphens/>
    </w:pPr>
    <w:rPr>
      <w:rFonts w:ascii="Arial" w:hAnsi="Arial" w:cs="Arial"/>
      <w:sz w:val="24"/>
      <w:szCs w:val="24"/>
      <w:lang w:eastAsia="zh-CN"/>
    </w:rPr>
  </w:style>
  <w:style w:type="paragraph" w:styleId="1">
    <w:name w:val="heading 1"/>
    <w:basedOn w:val="a"/>
    <w:next w:val="a0"/>
    <w:qFormat/>
    <w:rsid w:val="005D3C58"/>
    <w:pPr>
      <w:numPr>
        <w:numId w:val="1"/>
      </w:numPr>
      <w:spacing w:before="280" w:after="280"/>
      <w:outlineLvl w:val="0"/>
    </w:pPr>
    <w:rPr>
      <w:b/>
      <w:bCs/>
      <w:kern w:val="1"/>
      <w:sz w:val="20"/>
      <w:szCs w:val="20"/>
    </w:rPr>
  </w:style>
  <w:style w:type="paragraph" w:styleId="2">
    <w:name w:val="heading 2"/>
    <w:basedOn w:val="a"/>
    <w:next w:val="a0"/>
    <w:qFormat/>
    <w:rsid w:val="005D3C58"/>
    <w:pPr>
      <w:numPr>
        <w:ilvl w:val="1"/>
        <w:numId w:val="1"/>
      </w:numPr>
      <w:spacing w:before="280" w:after="280"/>
      <w:outlineLvl w:val="1"/>
    </w:pPr>
    <w:rPr>
      <w:b/>
      <w:bCs/>
      <w:sz w:val="36"/>
      <w:szCs w:val="36"/>
    </w:rPr>
  </w:style>
  <w:style w:type="paragraph" w:styleId="3">
    <w:name w:val="heading 3"/>
    <w:basedOn w:val="a"/>
    <w:next w:val="a0"/>
    <w:qFormat/>
    <w:rsid w:val="005D3C58"/>
    <w:pPr>
      <w:numPr>
        <w:ilvl w:val="2"/>
        <w:numId w:val="1"/>
      </w:numPr>
      <w:spacing w:before="280" w:after="280"/>
      <w:outlineLvl w:val="2"/>
    </w:pPr>
    <w:rPr>
      <w:b/>
      <w:bCs/>
      <w:sz w:val="33"/>
      <w:szCs w:val="33"/>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5D3C58"/>
  </w:style>
  <w:style w:type="character" w:styleId="a4">
    <w:name w:val="Hyperlink"/>
    <w:rsid w:val="005D3C58"/>
    <w:rPr>
      <w:color w:val="0000FF"/>
      <w:u w:val="single"/>
    </w:rPr>
  </w:style>
  <w:style w:type="character" w:customStyle="1" w:styleId="11">
    <w:name w:val="Заголовок 1 Знак"/>
    <w:rsid w:val="005D3C58"/>
    <w:rPr>
      <w:rFonts w:ascii="Cambria" w:eastAsia="Times New Roman" w:hAnsi="Cambria" w:cs="Times New Roman"/>
      <w:b/>
      <w:bCs/>
      <w:color w:val="365F91"/>
      <w:sz w:val="28"/>
      <w:szCs w:val="28"/>
    </w:rPr>
  </w:style>
  <w:style w:type="character" w:customStyle="1" w:styleId="20">
    <w:name w:val="Заголовок 2 Знак"/>
    <w:rsid w:val="005D3C58"/>
    <w:rPr>
      <w:rFonts w:ascii="Cambria" w:eastAsia="Times New Roman" w:hAnsi="Cambria" w:cs="Times New Roman"/>
      <w:b/>
      <w:bCs/>
      <w:color w:val="4F81BD"/>
      <w:sz w:val="26"/>
      <w:szCs w:val="26"/>
    </w:rPr>
  </w:style>
  <w:style w:type="character" w:customStyle="1" w:styleId="30">
    <w:name w:val="Заголовок 3 Знак"/>
    <w:rsid w:val="005D3C58"/>
    <w:rPr>
      <w:rFonts w:ascii="Cambria" w:eastAsia="Times New Roman" w:hAnsi="Cambria" w:cs="Times New Roman"/>
      <w:b/>
      <w:bCs/>
      <w:color w:val="4F81BD"/>
      <w:sz w:val="24"/>
      <w:szCs w:val="24"/>
    </w:rPr>
  </w:style>
  <w:style w:type="character" w:customStyle="1" w:styleId="a5">
    <w:name w:val="Текст выноски Знак"/>
    <w:rsid w:val="005D3C58"/>
    <w:rPr>
      <w:rFonts w:ascii="Tahoma" w:eastAsia="Times New Roman" w:hAnsi="Tahoma" w:cs="Tahoma"/>
      <w:sz w:val="16"/>
      <w:szCs w:val="16"/>
    </w:rPr>
  </w:style>
  <w:style w:type="character" w:customStyle="1" w:styleId="lspace">
    <w:name w:val="lspace"/>
    <w:rsid w:val="005D3C58"/>
    <w:rPr>
      <w:color w:val="FF9900"/>
    </w:rPr>
  </w:style>
  <w:style w:type="character" w:customStyle="1" w:styleId="small">
    <w:name w:val="small"/>
    <w:rsid w:val="005D3C58"/>
    <w:rPr>
      <w:sz w:val="15"/>
      <w:szCs w:val="15"/>
    </w:rPr>
  </w:style>
  <w:style w:type="character" w:customStyle="1" w:styleId="fill">
    <w:name w:val="fill"/>
    <w:rsid w:val="005D3C58"/>
    <w:rPr>
      <w:b/>
      <w:bCs/>
      <w:i/>
      <w:iCs/>
      <w:color w:val="FF0000"/>
    </w:rPr>
  </w:style>
  <w:style w:type="character" w:customStyle="1" w:styleId="enp">
    <w:name w:val="enp"/>
    <w:rsid w:val="005D3C58"/>
    <w:rPr>
      <w:color w:val="3C7828"/>
    </w:rPr>
  </w:style>
  <w:style w:type="character" w:customStyle="1" w:styleId="kdkss">
    <w:name w:val="kdkss"/>
    <w:rsid w:val="005D3C58"/>
    <w:rPr>
      <w:color w:val="BE780A"/>
    </w:rPr>
  </w:style>
  <w:style w:type="character" w:customStyle="1" w:styleId="a6">
    <w:name w:val="Текст примечания Знак"/>
    <w:rsid w:val="005D3C58"/>
    <w:rPr>
      <w:rFonts w:ascii="Arial" w:eastAsia="Times New Roman" w:hAnsi="Arial" w:cs="Arial"/>
    </w:rPr>
  </w:style>
  <w:style w:type="character" w:customStyle="1" w:styleId="12">
    <w:name w:val="Знак примечания1"/>
    <w:rsid w:val="005D3C58"/>
    <w:rPr>
      <w:sz w:val="16"/>
      <w:szCs w:val="16"/>
    </w:rPr>
  </w:style>
  <w:style w:type="character" w:customStyle="1" w:styleId="a7">
    <w:name w:val="Тема примечания Знак"/>
    <w:rsid w:val="005D3C58"/>
    <w:rPr>
      <w:rFonts w:ascii="Arial" w:eastAsia="Times New Roman" w:hAnsi="Arial" w:cs="Arial"/>
      <w:b/>
      <w:bCs/>
    </w:rPr>
  </w:style>
  <w:style w:type="character" w:customStyle="1" w:styleId="a8">
    <w:name w:val="Верхний колонтитул Знак"/>
    <w:rsid w:val="005D3C58"/>
    <w:rPr>
      <w:rFonts w:ascii="Arial" w:hAnsi="Arial" w:cs="Arial"/>
      <w:sz w:val="24"/>
      <w:szCs w:val="24"/>
    </w:rPr>
  </w:style>
  <w:style w:type="character" w:customStyle="1" w:styleId="a9">
    <w:name w:val="Нижний колонтитул Знак"/>
    <w:rsid w:val="005D3C58"/>
    <w:rPr>
      <w:rFonts w:ascii="Arial" w:hAnsi="Arial" w:cs="Arial"/>
      <w:sz w:val="24"/>
      <w:szCs w:val="24"/>
    </w:rPr>
  </w:style>
  <w:style w:type="paragraph" w:customStyle="1" w:styleId="13">
    <w:name w:val="Заголовок1"/>
    <w:basedOn w:val="a"/>
    <w:next w:val="a0"/>
    <w:rsid w:val="005D3C58"/>
    <w:pPr>
      <w:keepNext/>
      <w:spacing w:before="240" w:after="120"/>
    </w:pPr>
    <w:rPr>
      <w:rFonts w:ascii="Liberation Sans" w:eastAsia="Microsoft YaHei" w:hAnsi="Liberation Sans" w:cs="Mangal"/>
      <w:sz w:val="28"/>
      <w:szCs w:val="28"/>
    </w:rPr>
  </w:style>
  <w:style w:type="paragraph" w:styleId="a0">
    <w:name w:val="Body Text"/>
    <w:basedOn w:val="a"/>
    <w:rsid w:val="005D3C58"/>
    <w:pPr>
      <w:spacing w:after="140" w:line="288" w:lineRule="auto"/>
    </w:pPr>
  </w:style>
  <w:style w:type="paragraph" w:styleId="aa">
    <w:name w:val="List"/>
    <w:basedOn w:val="a0"/>
    <w:rsid w:val="005D3C58"/>
    <w:rPr>
      <w:rFonts w:cs="Mangal"/>
    </w:rPr>
  </w:style>
  <w:style w:type="paragraph" w:styleId="ab">
    <w:name w:val="caption"/>
    <w:basedOn w:val="a"/>
    <w:qFormat/>
    <w:rsid w:val="005D3C58"/>
    <w:pPr>
      <w:suppressLineNumbers/>
      <w:spacing w:before="120" w:after="120"/>
    </w:pPr>
    <w:rPr>
      <w:rFonts w:cs="Mangal"/>
      <w:i/>
      <w:iCs/>
    </w:rPr>
  </w:style>
  <w:style w:type="paragraph" w:customStyle="1" w:styleId="14">
    <w:name w:val="Указатель1"/>
    <w:basedOn w:val="a"/>
    <w:rsid w:val="005D3C58"/>
    <w:pPr>
      <w:suppressLineNumbers/>
    </w:pPr>
    <w:rPr>
      <w:rFonts w:cs="Mangal"/>
    </w:rPr>
  </w:style>
  <w:style w:type="paragraph" w:styleId="ac">
    <w:name w:val="Balloon Text"/>
    <w:basedOn w:val="a"/>
    <w:rsid w:val="005D3C58"/>
    <w:rPr>
      <w:rFonts w:ascii="Tahoma" w:hAnsi="Tahoma" w:cs="Tahoma"/>
      <w:sz w:val="16"/>
      <w:szCs w:val="16"/>
    </w:rPr>
  </w:style>
  <w:style w:type="paragraph" w:styleId="ad">
    <w:name w:val="List Paragraph"/>
    <w:basedOn w:val="a"/>
    <w:qFormat/>
    <w:rsid w:val="005D3C58"/>
    <w:pPr>
      <w:ind w:left="720"/>
      <w:contextualSpacing/>
    </w:pPr>
  </w:style>
  <w:style w:type="paragraph" w:customStyle="1" w:styleId="header-listtarget">
    <w:name w:val="header-listtarget"/>
    <w:basedOn w:val="a"/>
    <w:rsid w:val="005D3C58"/>
    <w:pPr>
      <w:shd w:val="clear" w:color="auto" w:fill="E66E5A"/>
      <w:spacing w:before="280" w:after="280"/>
    </w:pPr>
    <w:rPr>
      <w:sz w:val="20"/>
      <w:szCs w:val="20"/>
    </w:rPr>
  </w:style>
  <w:style w:type="paragraph" w:customStyle="1" w:styleId="15">
    <w:name w:val="Текст примечания1"/>
    <w:basedOn w:val="a"/>
    <w:rsid w:val="005D3C58"/>
    <w:rPr>
      <w:sz w:val="20"/>
      <w:szCs w:val="20"/>
    </w:rPr>
  </w:style>
  <w:style w:type="paragraph" w:styleId="ae">
    <w:name w:val="Normal (Web)"/>
    <w:basedOn w:val="a"/>
    <w:rsid w:val="005D3C58"/>
    <w:pPr>
      <w:spacing w:before="280" w:after="280"/>
    </w:pPr>
    <w:rPr>
      <w:sz w:val="20"/>
      <w:szCs w:val="20"/>
    </w:rPr>
  </w:style>
  <w:style w:type="paragraph" w:styleId="af">
    <w:name w:val="annotation subject"/>
    <w:basedOn w:val="15"/>
    <w:next w:val="15"/>
    <w:rsid w:val="005D3C58"/>
    <w:rPr>
      <w:b/>
      <w:bCs/>
    </w:rPr>
  </w:style>
  <w:style w:type="paragraph" w:styleId="af0">
    <w:name w:val="header"/>
    <w:basedOn w:val="a"/>
    <w:rsid w:val="005D3C58"/>
    <w:pPr>
      <w:tabs>
        <w:tab w:val="center" w:pos="4677"/>
        <w:tab w:val="right" w:pos="9355"/>
      </w:tabs>
    </w:pPr>
  </w:style>
  <w:style w:type="paragraph" w:styleId="af1">
    <w:name w:val="footer"/>
    <w:basedOn w:val="a"/>
    <w:rsid w:val="005D3C5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1939</Words>
  <Characters>11053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Приложение к учетной политике для целей бухучета. Состав комиссии по поступлению и выбытию активов</vt:lpstr>
    </vt:vector>
  </TitlesOfParts>
  <Company>Microsoft</Company>
  <LinksUpToDate>false</LinksUpToDate>
  <CharactersWithSpaces>12967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учетной политике для целей бухучета. Состав комиссии по поступлению и выбытию активов</dc:title>
  <dc:creator>Пользователь</dc:creator>
  <dc:description>Подготовлено на базе материалов БСС «Система Главбух»</dc:description>
  <cp:lastModifiedBy>Пользователь</cp:lastModifiedBy>
  <cp:revision>3</cp:revision>
  <cp:lastPrinted>2024-07-23T11:19:00Z</cp:lastPrinted>
  <dcterms:created xsi:type="dcterms:W3CDTF">2025-06-16T05:28:00Z</dcterms:created>
  <dcterms:modified xsi:type="dcterms:W3CDTF">2025-07-20T10:32:00Z</dcterms:modified>
</cp:coreProperties>
</file>